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343" w:rsidRDefault="005F5343" w:rsidP="005F5343">
      <w:pPr>
        <w:shd w:val="clear" w:color="auto" w:fill="FFFFFF" w:themeFill="background1"/>
      </w:pPr>
    </w:p>
    <w:p w:rsidR="005F5343" w:rsidRDefault="005F5343" w:rsidP="005F5343">
      <w:pPr>
        <w:shd w:val="clear" w:color="auto" w:fill="FFFFFF" w:themeFill="background1"/>
      </w:pPr>
    </w:p>
    <w:p w:rsidR="005F5343" w:rsidRDefault="005F5343" w:rsidP="005F5343">
      <w:pPr>
        <w:pStyle w:val="NormalWeb"/>
        <w:spacing w:before="120" w:after="60"/>
        <w:rPr>
          <w:rFonts w:ascii="Arial" w:hAnsi="Arial" w:cs="Arial"/>
          <w:b/>
          <w:u w:val="single"/>
        </w:rPr>
      </w:pPr>
      <w:r w:rsidRPr="008D2439">
        <w:rPr>
          <w:rFonts w:ascii="Arial" w:hAnsi="Arial" w:cs="Arial"/>
          <w:b/>
          <w:u w:val="single"/>
        </w:rPr>
        <w:t>ANNUAL GOVER</w:t>
      </w:r>
      <w:r>
        <w:rPr>
          <w:rFonts w:ascii="Arial" w:hAnsi="Arial" w:cs="Arial"/>
          <w:b/>
          <w:u w:val="single"/>
        </w:rPr>
        <w:t>NANCE STATEMENT ACTION PLAN 2021/22</w:t>
      </w:r>
    </w:p>
    <w:p w:rsidR="005F5343" w:rsidRDefault="005F5343" w:rsidP="005F5343">
      <w:pPr>
        <w:pStyle w:val="NormalWeb"/>
        <w:spacing w:before="120" w:after="60"/>
        <w:rPr>
          <w:rFonts w:ascii="Arial" w:hAnsi="Arial" w:cs="Arial"/>
          <w:b/>
          <w:u w:val="single"/>
        </w:rPr>
      </w:pPr>
    </w:p>
    <w:tbl>
      <w:tblPr>
        <w:tblStyle w:val="TableGrid"/>
        <w:tblW w:w="15201" w:type="dxa"/>
        <w:tblInd w:w="-459" w:type="dxa"/>
        <w:tblLayout w:type="fixed"/>
        <w:tblLook w:val="04A0" w:firstRow="1" w:lastRow="0" w:firstColumn="1" w:lastColumn="0" w:noHBand="0" w:noVBand="1"/>
      </w:tblPr>
      <w:tblGrid>
        <w:gridCol w:w="5407"/>
        <w:gridCol w:w="1316"/>
        <w:gridCol w:w="30"/>
        <w:gridCol w:w="2016"/>
        <w:gridCol w:w="4854"/>
        <w:gridCol w:w="1578"/>
      </w:tblGrid>
      <w:tr w:rsidR="005F5343" w:rsidRPr="00264574" w:rsidTr="00F9403B">
        <w:tc>
          <w:tcPr>
            <w:tcW w:w="5407" w:type="dxa"/>
            <w:shd w:val="clear" w:color="auto" w:fill="D9D9D9" w:themeFill="background1" w:themeFillShade="D9"/>
          </w:tcPr>
          <w:p w:rsidR="005F5343" w:rsidRPr="00264574" w:rsidRDefault="005F5343" w:rsidP="00F9403B"/>
          <w:p w:rsidR="005F5343" w:rsidRPr="00264574" w:rsidRDefault="005F5343" w:rsidP="00F9403B">
            <w:pPr>
              <w:rPr>
                <w:b/>
              </w:rPr>
            </w:pPr>
            <w:r w:rsidRPr="00264574">
              <w:rPr>
                <w:b/>
              </w:rPr>
              <w:t>Action Required</w:t>
            </w:r>
          </w:p>
          <w:p w:rsidR="005F5343" w:rsidRPr="00264574" w:rsidRDefault="005F5343" w:rsidP="00F9403B"/>
        </w:tc>
        <w:tc>
          <w:tcPr>
            <w:tcW w:w="1346" w:type="dxa"/>
            <w:gridSpan w:val="2"/>
            <w:shd w:val="clear" w:color="auto" w:fill="D9D9D9" w:themeFill="background1" w:themeFillShade="D9"/>
          </w:tcPr>
          <w:p w:rsidR="005F5343" w:rsidRPr="00264574" w:rsidRDefault="005F5343" w:rsidP="00F9403B">
            <w:pPr>
              <w:rPr>
                <w:b/>
              </w:rPr>
            </w:pPr>
          </w:p>
          <w:p w:rsidR="005F5343" w:rsidRPr="00264574" w:rsidRDefault="005F5343" w:rsidP="00F9403B">
            <w:pPr>
              <w:rPr>
                <w:b/>
              </w:rPr>
            </w:pPr>
            <w:r w:rsidRPr="00264574">
              <w:rPr>
                <w:b/>
              </w:rPr>
              <w:t>Deadline</w:t>
            </w:r>
          </w:p>
        </w:tc>
        <w:tc>
          <w:tcPr>
            <w:tcW w:w="2016" w:type="dxa"/>
            <w:shd w:val="clear" w:color="auto" w:fill="D9D9D9" w:themeFill="background1" w:themeFillShade="D9"/>
          </w:tcPr>
          <w:p w:rsidR="005F5343" w:rsidRDefault="005F5343" w:rsidP="00F9403B">
            <w:pPr>
              <w:rPr>
                <w:b/>
              </w:rPr>
            </w:pPr>
          </w:p>
          <w:p w:rsidR="005F5343" w:rsidRPr="00264574" w:rsidRDefault="005F5343" w:rsidP="00F9403B">
            <w:pPr>
              <w:rPr>
                <w:b/>
              </w:rPr>
            </w:pPr>
            <w:r w:rsidRPr="00264574">
              <w:rPr>
                <w:b/>
              </w:rPr>
              <w:t xml:space="preserve">Responsibility </w:t>
            </w:r>
          </w:p>
        </w:tc>
        <w:tc>
          <w:tcPr>
            <w:tcW w:w="4854" w:type="dxa"/>
            <w:shd w:val="clear" w:color="auto" w:fill="D9D9D9" w:themeFill="background1" w:themeFillShade="D9"/>
          </w:tcPr>
          <w:p w:rsidR="005F5343" w:rsidRDefault="005F5343" w:rsidP="00F9403B">
            <w:pPr>
              <w:rPr>
                <w:b/>
              </w:rPr>
            </w:pPr>
          </w:p>
          <w:p w:rsidR="005F5343" w:rsidRPr="00264574" w:rsidRDefault="005F5343" w:rsidP="00F9403B">
            <w:pPr>
              <w:rPr>
                <w:b/>
              </w:rPr>
            </w:pPr>
            <w:r>
              <w:rPr>
                <w:b/>
              </w:rPr>
              <w:t>Comment</w:t>
            </w:r>
          </w:p>
        </w:tc>
        <w:tc>
          <w:tcPr>
            <w:tcW w:w="1578" w:type="dxa"/>
            <w:shd w:val="clear" w:color="auto" w:fill="D9D9D9" w:themeFill="background1" w:themeFillShade="D9"/>
          </w:tcPr>
          <w:p w:rsidR="005F5343" w:rsidRDefault="005F5343" w:rsidP="00F9403B">
            <w:pPr>
              <w:rPr>
                <w:b/>
              </w:rPr>
            </w:pPr>
          </w:p>
          <w:p w:rsidR="005F5343" w:rsidRPr="00264574" w:rsidRDefault="005F5343" w:rsidP="00F9403B">
            <w:pPr>
              <w:rPr>
                <w:b/>
              </w:rPr>
            </w:pPr>
            <w:r>
              <w:rPr>
                <w:b/>
              </w:rPr>
              <w:t xml:space="preserve">Action Completed </w:t>
            </w:r>
          </w:p>
        </w:tc>
      </w:tr>
      <w:tr w:rsidR="005F5343" w:rsidRPr="00CB63DD" w:rsidTr="00F9403B">
        <w:trPr>
          <w:trHeight w:val="553"/>
        </w:trPr>
        <w:tc>
          <w:tcPr>
            <w:tcW w:w="5407" w:type="dxa"/>
            <w:shd w:val="clear" w:color="auto" w:fill="FFFFFF" w:themeFill="background1"/>
          </w:tcPr>
          <w:p w:rsidR="005F5343" w:rsidRDefault="005F5343" w:rsidP="00F9403B">
            <w:pPr>
              <w:autoSpaceDE w:val="0"/>
              <w:autoSpaceDN w:val="0"/>
              <w:adjustRightInd w:val="0"/>
              <w:ind w:left="204" w:hanging="204"/>
            </w:pPr>
            <w:r>
              <w:rPr>
                <w:color w:val="000000"/>
              </w:rPr>
              <w:t>1 Integrate data protection training into staff induction</w:t>
            </w:r>
          </w:p>
          <w:p w:rsidR="005F5343" w:rsidRPr="00C9294A" w:rsidRDefault="005F5343" w:rsidP="00F9403B">
            <w:pPr>
              <w:autoSpaceDE w:val="0"/>
              <w:autoSpaceDN w:val="0"/>
              <w:adjustRightInd w:val="0"/>
            </w:pPr>
          </w:p>
        </w:tc>
        <w:tc>
          <w:tcPr>
            <w:tcW w:w="1316" w:type="dxa"/>
            <w:shd w:val="clear" w:color="auto" w:fill="FFFFFF" w:themeFill="background1"/>
          </w:tcPr>
          <w:p w:rsidR="005F5343" w:rsidRPr="00C9294A" w:rsidRDefault="005F5343" w:rsidP="00F9403B">
            <w:r>
              <w:t>31/3/22</w:t>
            </w:r>
          </w:p>
        </w:tc>
        <w:tc>
          <w:tcPr>
            <w:tcW w:w="2046" w:type="dxa"/>
            <w:gridSpan w:val="2"/>
            <w:shd w:val="clear" w:color="auto" w:fill="FFFFFF" w:themeFill="background1"/>
          </w:tcPr>
          <w:p w:rsidR="005F5343" w:rsidRPr="00C9294A" w:rsidRDefault="005F5343" w:rsidP="00F9403B">
            <w:r>
              <w:t>Head of Law &amp; Governance and Head of Business Improvement</w:t>
            </w:r>
          </w:p>
        </w:tc>
        <w:tc>
          <w:tcPr>
            <w:tcW w:w="4854" w:type="dxa"/>
            <w:shd w:val="clear" w:color="auto" w:fill="FFFFFF" w:themeFill="background1"/>
          </w:tcPr>
          <w:p w:rsidR="005F5343" w:rsidRPr="00C9294A" w:rsidRDefault="005F5343" w:rsidP="00F9403B">
            <w:r>
              <w:t>There is a need to ensure that all new staff participate in the relevant data protection training module for their role as part of their induction programme. Envisaged that this will inform the probation period for new employees</w:t>
            </w:r>
          </w:p>
        </w:tc>
        <w:tc>
          <w:tcPr>
            <w:tcW w:w="1578" w:type="dxa"/>
            <w:shd w:val="clear" w:color="auto" w:fill="auto"/>
          </w:tcPr>
          <w:p w:rsidR="005F5343" w:rsidRPr="00CB63DD" w:rsidRDefault="005F5343" w:rsidP="00F9403B"/>
        </w:tc>
      </w:tr>
      <w:tr w:rsidR="005F5343" w:rsidRPr="00CB63DD" w:rsidTr="00F9403B">
        <w:trPr>
          <w:trHeight w:val="175"/>
        </w:trPr>
        <w:tc>
          <w:tcPr>
            <w:tcW w:w="5407" w:type="dxa"/>
            <w:shd w:val="clear" w:color="auto" w:fill="D9D9D9" w:themeFill="background1" w:themeFillShade="D9"/>
          </w:tcPr>
          <w:p w:rsidR="005F5343" w:rsidRDefault="005F5343" w:rsidP="00F9403B">
            <w:pPr>
              <w:autoSpaceDE w:val="0"/>
              <w:autoSpaceDN w:val="0"/>
              <w:adjustRightInd w:val="0"/>
              <w:rPr>
                <w:color w:val="000000"/>
              </w:rPr>
            </w:pPr>
          </w:p>
        </w:tc>
        <w:tc>
          <w:tcPr>
            <w:tcW w:w="1316" w:type="dxa"/>
            <w:shd w:val="clear" w:color="auto" w:fill="D9D9D9" w:themeFill="background1" w:themeFillShade="D9"/>
          </w:tcPr>
          <w:p w:rsidR="005F5343" w:rsidRDefault="005F5343" w:rsidP="00F9403B"/>
        </w:tc>
        <w:tc>
          <w:tcPr>
            <w:tcW w:w="2046" w:type="dxa"/>
            <w:gridSpan w:val="2"/>
            <w:shd w:val="clear" w:color="auto" w:fill="D9D9D9" w:themeFill="background1" w:themeFillShade="D9"/>
          </w:tcPr>
          <w:p w:rsidR="005F5343" w:rsidRDefault="005F5343" w:rsidP="00F9403B"/>
        </w:tc>
        <w:tc>
          <w:tcPr>
            <w:tcW w:w="4854" w:type="dxa"/>
            <w:shd w:val="clear" w:color="auto" w:fill="D9D9D9" w:themeFill="background1" w:themeFillShade="D9"/>
          </w:tcPr>
          <w:p w:rsidR="005F5343" w:rsidRDefault="005F5343" w:rsidP="00F9403B"/>
        </w:tc>
        <w:tc>
          <w:tcPr>
            <w:tcW w:w="1578" w:type="dxa"/>
            <w:shd w:val="clear" w:color="auto" w:fill="D9D9D9" w:themeFill="background1" w:themeFillShade="D9"/>
          </w:tcPr>
          <w:p w:rsidR="005F5343" w:rsidRPr="00CB63DD" w:rsidRDefault="005F5343" w:rsidP="00F9403B"/>
        </w:tc>
      </w:tr>
      <w:tr w:rsidR="005F5343" w:rsidRPr="00CA751F" w:rsidTr="00F9403B">
        <w:trPr>
          <w:trHeight w:val="412"/>
        </w:trPr>
        <w:tc>
          <w:tcPr>
            <w:tcW w:w="5407" w:type="dxa"/>
          </w:tcPr>
          <w:p w:rsidR="005F5343" w:rsidRDefault="005F5343" w:rsidP="00F9403B">
            <w:pPr>
              <w:autoSpaceDE w:val="0"/>
              <w:autoSpaceDN w:val="0"/>
              <w:adjustRightInd w:val="0"/>
              <w:ind w:left="204" w:hanging="204"/>
            </w:pPr>
            <w:r>
              <w:t>2 Practical implementation of Council’s revised retention schedule</w:t>
            </w:r>
          </w:p>
          <w:p w:rsidR="005F5343" w:rsidRPr="00C9294A" w:rsidRDefault="005F5343" w:rsidP="00F9403B">
            <w:pPr>
              <w:autoSpaceDE w:val="0"/>
              <w:autoSpaceDN w:val="0"/>
              <w:adjustRightInd w:val="0"/>
            </w:pPr>
          </w:p>
        </w:tc>
        <w:tc>
          <w:tcPr>
            <w:tcW w:w="1316" w:type="dxa"/>
          </w:tcPr>
          <w:p w:rsidR="005F5343" w:rsidRPr="00C9294A" w:rsidRDefault="005F5343" w:rsidP="00F9403B">
            <w:r>
              <w:t>31/3/22</w:t>
            </w:r>
          </w:p>
        </w:tc>
        <w:tc>
          <w:tcPr>
            <w:tcW w:w="2046" w:type="dxa"/>
            <w:gridSpan w:val="2"/>
            <w:shd w:val="clear" w:color="auto" w:fill="FFFFFF" w:themeFill="background1"/>
          </w:tcPr>
          <w:p w:rsidR="005F5343" w:rsidRDefault="005F5343" w:rsidP="00F9403B">
            <w:r w:rsidRPr="006261BC">
              <w:t>Head of Law &amp; Governance and Head of Business Improvement</w:t>
            </w:r>
          </w:p>
        </w:tc>
        <w:tc>
          <w:tcPr>
            <w:tcW w:w="4854" w:type="dxa"/>
            <w:shd w:val="clear" w:color="auto" w:fill="FFFFFF" w:themeFill="background1"/>
          </w:tcPr>
          <w:p w:rsidR="005F5343" w:rsidRPr="005D3540" w:rsidRDefault="005F5343" w:rsidP="00F9403B">
            <w:r>
              <w:t>Each service area to be responsible for compliance with data retention rules and policies to include a reduction in the number of emails stored as unstructured data in outlook accounts.</w:t>
            </w:r>
          </w:p>
        </w:tc>
        <w:tc>
          <w:tcPr>
            <w:tcW w:w="1578" w:type="dxa"/>
            <w:shd w:val="clear" w:color="auto" w:fill="auto"/>
          </w:tcPr>
          <w:p w:rsidR="005F5343" w:rsidRPr="00CA751F" w:rsidRDefault="005F5343" w:rsidP="00F9403B"/>
        </w:tc>
      </w:tr>
      <w:tr w:rsidR="005F5343" w:rsidRPr="00CB63DD" w:rsidTr="00F9403B">
        <w:trPr>
          <w:trHeight w:val="175"/>
        </w:trPr>
        <w:tc>
          <w:tcPr>
            <w:tcW w:w="5407" w:type="dxa"/>
            <w:shd w:val="clear" w:color="auto" w:fill="D9D9D9" w:themeFill="background1" w:themeFillShade="D9"/>
          </w:tcPr>
          <w:p w:rsidR="005F5343" w:rsidRDefault="005F5343" w:rsidP="00F9403B">
            <w:pPr>
              <w:autoSpaceDE w:val="0"/>
              <w:autoSpaceDN w:val="0"/>
              <w:adjustRightInd w:val="0"/>
              <w:rPr>
                <w:color w:val="000000"/>
              </w:rPr>
            </w:pPr>
          </w:p>
        </w:tc>
        <w:tc>
          <w:tcPr>
            <w:tcW w:w="1316" w:type="dxa"/>
            <w:shd w:val="clear" w:color="auto" w:fill="D9D9D9" w:themeFill="background1" w:themeFillShade="D9"/>
          </w:tcPr>
          <w:p w:rsidR="005F5343" w:rsidRDefault="005F5343" w:rsidP="00F9403B"/>
        </w:tc>
        <w:tc>
          <w:tcPr>
            <w:tcW w:w="2046" w:type="dxa"/>
            <w:gridSpan w:val="2"/>
            <w:shd w:val="clear" w:color="auto" w:fill="D9D9D9" w:themeFill="background1" w:themeFillShade="D9"/>
          </w:tcPr>
          <w:p w:rsidR="005F5343" w:rsidRDefault="005F5343" w:rsidP="00F9403B"/>
        </w:tc>
        <w:tc>
          <w:tcPr>
            <w:tcW w:w="4854" w:type="dxa"/>
            <w:shd w:val="clear" w:color="auto" w:fill="D9D9D9" w:themeFill="background1" w:themeFillShade="D9"/>
          </w:tcPr>
          <w:p w:rsidR="005F5343" w:rsidRDefault="005F5343" w:rsidP="00F9403B"/>
        </w:tc>
        <w:tc>
          <w:tcPr>
            <w:tcW w:w="1578" w:type="dxa"/>
            <w:shd w:val="clear" w:color="auto" w:fill="D9D9D9" w:themeFill="background1" w:themeFillShade="D9"/>
          </w:tcPr>
          <w:p w:rsidR="005F5343" w:rsidRPr="00CB63DD" w:rsidRDefault="005F5343" w:rsidP="00F9403B"/>
        </w:tc>
      </w:tr>
      <w:tr w:rsidR="005F5343" w:rsidRPr="00CA751F" w:rsidTr="00F9403B">
        <w:trPr>
          <w:trHeight w:val="412"/>
        </w:trPr>
        <w:tc>
          <w:tcPr>
            <w:tcW w:w="5407" w:type="dxa"/>
          </w:tcPr>
          <w:p w:rsidR="005F5343" w:rsidRDefault="005F5343" w:rsidP="00F9403B">
            <w:pPr>
              <w:autoSpaceDE w:val="0"/>
              <w:autoSpaceDN w:val="0"/>
              <w:adjustRightInd w:val="0"/>
              <w:ind w:left="204" w:hanging="204"/>
            </w:pPr>
            <w:r>
              <w:t>3 Review of data protection practices with organisation</w:t>
            </w:r>
          </w:p>
        </w:tc>
        <w:tc>
          <w:tcPr>
            <w:tcW w:w="1316" w:type="dxa"/>
          </w:tcPr>
          <w:p w:rsidR="005F5343" w:rsidRDefault="005F5343" w:rsidP="00F9403B">
            <w:r>
              <w:t>31/3/22</w:t>
            </w:r>
          </w:p>
        </w:tc>
        <w:tc>
          <w:tcPr>
            <w:tcW w:w="2046" w:type="dxa"/>
            <w:gridSpan w:val="2"/>
            <w:shd w:val="clear" w:color="auto" w:fill="FFFFFF" w:themeFill="background1"/>
          </w:tcPr>
          <w:p w:rsidR="005F5343" w:rsidRPr="006261BC" w:rsidRDefault="005F5343" w:rsidP="00F9403B">
            <w:r w:rsidRPr="006261BC">
              <w:t>Head of Law &amp; Governance</w:t>
            </w:r>
          </w:p>
        </w:tc>
        <w:tc>
          <w:tcPr>
            <w:tcW w:w="4854" w:type="dxa"/>
            <w:shd w:val="clear" w:color="auto" w:fill="FFFFFF" w:themeFill="background1"/>
          </w:tcPr>
          <w:p w:rsidR="005F5343" w:rsidRDefault="005F5343" w:rsidP="00F9403B">
            <w:r>
              <w:t>Project to consider the work undertaken by the Council in relation to its data protection practices. This will be in line with the Information Commissioner’s accountability tracker on compliance with the data protection principles in the UK GDPR Article 5.</w:t>
            </w:r>
          </w:p>
        </w:tc>
        <w:tc>
          <w:tcPr>
            <w:tcW w:w="1578" w:type="dxa"/>
            <w:shd w:val="clear" w:color="auto" w:fill="auto"/>
          </w:tcPr>
          <w:p w:rsidR="005F5343" w:rsidRPr="00CA751F" w:rsidRDefault="005F5343" w:rsidP="00F9403B"/>
        </w:tc>
      </w:tr>
      <w:tr w:rsidR="005F5343" w:rsidRPr="00CB63DD" w:rsidTr="00F9403B">
        <w:trPr>
          <w:trHeight w:val="175"/>
        </w:trPr>
        <w:tc>
          <w:tcPr>
            <w:tcW w:w="5407" w:type="dxa"/>
            <w:shd w:val="clear" w:color="auto" w:fill="D9D9D9" w:themeFill="background1" w:themeFillShade="D9"/>
          </w:tcPr>
          <w:p w:rsidR="005F5343" w:rsidRDefault="005F5343" w:rsidP="00F9403B">
            <w:pPr>
              <w:autoSpaceDE w:val="0"/>
              <w:autoSpaceDN w:val="0"/>
              <w:adjustRightInd w:val="0"/>
              <w:rPr>
                <w:color w:val="000000"/>
              </w:rPr>
            </w:pPr>
          </w:p>
        </w:tc>
        <w:tc>
          <w:tcPr>
            <w:tcW w:w="1316" w:type="dxa"/>
            <w:shd w:val="clear" w:color="auto" w:fill="D9D9D9" w:themeFill="background1" w:themeFillShade="D9"/>
          </w:tcPr>
          <w:p w:rsidR="005F5343" w:rsidRDefault="005F5343" w:rsidP="00F9403B"/>
        </w:tc>
        <w:tc>
          <w:tcPr>
            <w:tcW w:w="2046" w:type="dxa"/>
            <w:gridSpan w:val="2"/>
            <w:shd w:val="clear" w:color="auto" w:fill="D9D9D9" w:themeFill="background1" w:themeFillShade="D9"/>
          </w:tcPr>
          <w:p w:rsidR="005F5343" w:rsidRDefault="005F5343" w:rsidP="00F9403B"/>
        </w:tc>
        <w:tc>
          <w:tcPr>
            <w:tcW w:w="4854" w:type="dxa"/>
            <w:shd w:val="clear" w:color="auto" w:fill="D9D9D9" w:themeFill="background1" w:themeFillShade="D9"/>
          </w:tcPr>
          <w:p w:rsidR="005F5343" w:rsidRDefault="005F5343" w:rsidP="00F9403B"/>
        </w:tc>
        <w:tc>
          <w:tcPr>
            <w:tcW w:w="1578" w:type="dxa"/>
            <w:shd w:val="clear" w:color="auto" w:fill="D9D9D9" w:themeFill="background1" w:themeFillShade="D9"/>
          </w:tcPr>
          <w:p w:rsidR="005F5343" w:rsidRPr="00CB63DD" w:rsidRDefault="005F5343" w:rsidP="00F9403B"/>
        </w:tc>
      </w:tr>
      <w:tr w:rsidR="005F5343" w:rsidRPr="00CA751F" w:rsidTr="00F9403B">
        <w:trPr>
          <w:trHeight w:val="412"/>
        </w:trPr>
        <w:tc>
          <w:tcPr>
            <w:tcW w:w="5407" w:type="dxa"/>
          </w:tcPr>
          <w:p w:rsidR="005F5343" w:rsidRDefault="005F5343" w:rsidP="00F9403B">
            <w:pPr>
              <w:autoSpaceDE w:val="0"/>
              <w:autoSpaceDN w:val="0"/>
              <w:adjustRightInd w:val="0"/>
              <w:ind w:left="204" w:hanging="204"/>
            </w:pPr>
            <w:r>
              <w:t>4 Review handling of freedom of information requests</w:t>
            </w:r>
          </w:p>
        </w:tc>
        <w:tc>
          <w:tcPr>
            <w:tcW w:w="1316" w:type="dxa"/>
          </w:tcPr>
          <w:p w:rsidR="005F5343" w:rsidRDefault="005F5343" w:rsidP="00F9403B">
            <w:r>
              <w:t>31/3/22</w:t>
            </w:r>
          </w:p>
        </w:tc>
        <w:tc>
          <w:tcPr>
            <w:tcW w:w="2046" w:type="dxa"/>
            <w:gridSpan w:val="2"/>
            <w:shd w:val="clear" w:color="auto" w:fill="FFFFFF" w:themeFill="background1"/>
          </w:tcPr>
          <w:p w:rsidR="005F5343" w:rsidRPr="006261BC" w:rsidRDefault="005F5343" w:rsidP="00F9403B">
            <w:r w:rsidRPr="007B1745">
              <w:t>Head of Law &amp; Governance</w:t>
            </w:r>
          </w:p>
        </w:tc>
        <w:tc>
          <w:tcPr>
            <w:tcW w:w="4854" w:type="dxa"/>
            <w:shd w:val="clear" w:color="auto" w:fill="FFFFFF" w:themeFill="background1"/>
          </w:tcPr>
          <w:p w:rsidR="005F5343" w:rsidRDefault="005F5343" w:rsidP="00F9403B">
            <w:r>
              <w:t xml:space="preserve">Review to improve efficiency and effectiveness in the handling of FOI requests particularly in dealing with </w:t>
            </w:r>
            <w:r>
              <w:lastRenderedPageBreak/>
              <w:t>information held by the council’s companies</w:t>
            </w:r>
          </w:p>
        </w:tc>
        <w:tc>
          <w:tcPr>
            <w:tcW w:w="1578" w:type="dxa"/>
            <w:shd w:val="clear" w:color="auto" w:fill="auto"/>
          </w:tcPr>
          <w:p w:rsidR="005F5343" w:rsidRPr="00CA751F" w:rsidRDefault="005F5343" w:rsidP="00F9403B"/>
        </w:tc>
      </w:tr>
    </w:tbl>
    <w:p w:rsidR="005F5343" w:rsidRDefault="005F5343" w:rsidP="005F5343">
      <w:pPr>
        <w:pStyle w:val="NormalWeb"/>
        <w:spacing w:before="120" w:after="60"/>
        <w:rPr>
          <w:rFonts w:ascii="Arial" w:hAnsi="Arial" w:cs="Arial"/>
          <w:b/>
          <w:u w:val="single"/>
        </w:rPr>
      </w:pPr>
    </w:p>
    <w:p w:rsidR="005F5343" w:rsidRPr="005F5343" w:rsidRDefault="005F5343" w:rsidP="005F5343"/>
    <w:p w:rsidR="005F5343" w:rsidRPr="005F5343" w:rsidRDefault="005F5343" w:rsidP="005F5343"/>
    <w:p w:rsidR="005F5343" w:rsidRPr="005F5343" w:rsidRDefault="005F5343" w:rsidP="005F5343">
      <w:pPr>
        <w:rPr>
          <w:b/>
          <w:u w:val="single"/>
        </w:rPr>
      </w:pPr>
      <w:r w:rsidRPr="005F5343">
        <w:rPr>
          <w:b/>
          <w:u w:val="single"/>
        </w:rPr>
        <w:t>ANNUAL GOVERNANCE STATEMENT ACTION PLAN 2021/22</w:t>
      </w:r>
    </w:p>
    <w:p w:rsidR="005F5343" w:rsidRPr="005F5343" w:rsidRDefault="005F5343" w:rsidP="005F5343">
      <w:pPr>
        <w:rPr>
          <w:b/>
          <w:u w:val="single"/>
        </w:rPr>
      </w:pPr>
    </w:p>
    <w:tbl>
      <w:tblPr>
        <w:tblStyle w:val="TableGrid"/>
        <w:tblW w:w="15201" w:type="dxa"/>
        <w:tblInd w:w="-459" w:type="dxa"/>
        <w:tblLayout w:type="fixed"/>
        <w:tblLook w:val="04A0" w:firstRow="1" w:lastRow="0" w:firstColumn="1" w:lastColumn="0" w:noHBand="0" w:noVBand="1"/>
      </w:tblPr>
      <w:tblGrid>
        <w:gridCol w:w="5407"/>
        <w:gridCol w:w="1316"/>
        <w:gridCol w:w="30"/>
        <w:gridCol w:w="2016"/>
        <w:gridCol w:w="4854"/>
        <w:gridCol w:w="1578"/>
      </w:tblGrid>
      <w:tr w:rsidR="005F5343" w:rsidRPr="005F5343" w:rsidTr="00F9403B">
        <w:tc>
          <w:tcPr>
            <w:tcW w:w="5407" w:type="dxa"/>
            <w:shd w:val="clear" w:color="auto" w:fill="D9D9D9" w:themeFill="background1" w:themeFillShade="D9"/>
          </w:tcPr>
          <w:p w:rsidR="005F5343" w:rsidRPr="005F5343" w:rsidRDefault="005F5343" w:rsidP="005F5343"/>
          <w:p w:rsidR="005F5343" w:rsidRPr="005F5343" w:rsidRDefault="005F5343" w:rsidP="005F5343">
            <w:pPr>
              <w:rPr>
                <w:b/>
              </w:rPr>
            </w:pPr>
            <w:r w:rsidRPr="005F5343">
              <w:rPr>
                <w:b/>
              </w:rPr>
              <w:t>Action Required</w:t>
            </w:r>
          </w:p>
          <w:p w:rsidR="005F5343" w:rsidRPr="005F5343" w:rsidRDefault="005F5343" w:rsidP="005F5343"/>
        </w:tc>
        <w:tc>
          <w:tcPr>
            <w:tcW w:w="1346" w:type="dxa"/>
            <w:gridSpan w:val="2"/>
            <w:shd w:val="clear" w:color="auto" w:fill="D9D9D9" w:themeFill="background1" w:themeFillShade="D9"/>
          </w:tcPr>
          <w:p w:rsidR="005F5343" w:rsidRPr="005F5343" w:rsidRDefault="005F5343" w:rsidP="005F5343">
            <w:pPr>
              <w:rPr>
                <w:b/>
              </w:rPr>
            </w:pPr>
          </w:p>
          <w:p w:rsidR="005F5343" w:rsidRPr="005F5343" w:rsidRDefault="005F5343" w:rsidP="005F5343">
            <w:pPr>
              <w:rPr>
                <w:b/>
              </w:rPr>
            </w:pPr>
            <w:r w:rsidRPr="005F5343">
              <w:rPr>
                <w:b/>
              </w:rPr>
              <w:t>Deadline</w:t>
            </w:r>
          </w:p>
        </w:tc>
        <w:tc>
          <w:tcPr>
            <w:tcW w:w="2016" w:type="dxa"/>
            <w:shd w:val="clear" w:color="auto" w:fill="D9D9D9" w:themeFill="background1" w:themeFillShade="D9"/>
          </w:tcPr>
          <w:p w:rsidR="005F5343" w:rsidRPr="005F5343" w:rsidRDefault="005F5343" w:rsidP="005F5343">
            <w:pPr>
              <w:rPr>
                <w:b/>
              </w:rPr>
            </w:pPr>
          </w:p>
          <w:p w:rsidR="005F5343" w:rsidRPr="005F5343" w:rsidRDefault="005F5343" w:rsidP="005F5343">
            <w:pPr>
              <w:rPr>
                <w:b/>
              </w:rPr>
            </w:pPr>
            <w:r w:rsidRPr="005F5343">
              <w:rPr>
                <w:b/>
              </w:rPr>
              <w:t xml:space="preserve">Responsibility </w:t>
            </w:r>
          </w:p>
        </w:tc>
        <w:tc>
          <w:tcPr>
            <w:tcW w:w="4854" w:type="dxa"/>
            <w:shd w:val="clear" w:color="auto" w:fill="D9D9D9" w:themeFill="background1" w:themeFillShade="D9"/>
          </w:tcPr>
          <w:p w:rsidR="005F5343" w:rsidRPr="005F5343" w:rsidRDefault="005F5343" w:rsidP="005F5343">
            <w:pPr>
              <w:rPr>
                <w:b/>
              </w:rPr>
            </w:pPr>
          </w:p>
          <w:p w:rsidR="005F5343" w:rsidRPr="005F5343" w:rsidRDefault="005F5343" w:rsidP="005F5343">
            <w:pPr>
              <w:rPr>
                <w:b/>
              </w:rPr>
            </w:pPr>
            <w:r w:rsidRPr="005F5343">
              <w:rPr>
                <w:b/>
              </w:rPr>
              <w:t>Comment</w:t>
            </w:r>
          </w:p>
        </w:tc>
        <w:tc>
          <w:tcPr>
            <w:tcW w:w="1578" w:type="dxa"/>
            <w:shd w:val="clear" w:color="auto" w:fill="D9D9D9" w:themeFill="background1" w:themeFillShade="D9"/>
          </w:tcPr>
          <w:p w:rsidR="005F5343" w:rsidRPr="005F5343" w:rsidRDefault="005F5343" w:rsidP="005F5343">
            <w:pPr>
              <w:rPr>
                <w:b/>
              </w:rPr>
            </w:pPr>
          </w:p>
          <w:p w:rsidR="005F5343" w:rsidRPr="005F5343" w:rsidRDefault="005F5343" w:rsidP="005F5343">
            <w:pPr>
              <w:rPr>
                <w:b/>
              </w:rPr>
            </w:pPr>
            <w:r w:rsidRPr="005F5343">
              <w:rPr>
                <w:b/>
              </w:rPr>
              <w:t xml:space="preserve">Action Completed </w:t>
            </w:r>
          </w:p>
        </w:tc>
      </w:tr>
      <w:tr w:rsidR="005F5343" w:rsidRPr="005F5343" w:rsidTr="00F9403B">
        <w:trPr>
          <w:trHeight w:val="553"/>
        </w:trPr>
        <w:tc>
          <w:tcPr>
            <w:tcW w:w="5407" w:type="dxa"/>
            <w:shd w:val="clear" w:color="auto" w:fill="FFFFFF" w:themeFill="background1"/>
          </w:tcPr>
          <w:p w:rsidR="005F5343" w:rsidRPr="005F5343" w:rsidRDefault="005F5343" w:rsidP="005F5343">
            <w:r w:rsidRPr="005F5343">
              <w:t>1 Integrate data protection training into staff induction</w:t>
            </w:r>
          </w:p>
          <w:p w:rsidR="005F5343" w:rsidRPr="005F5343" w:rsidRDefault="005F5343" w:rsidP="005F5343"/>
        </w:tc>
        <w:tc>
          <w:tcPr>
            <w:tcW w:w="1316" w:type="dxa"/>
            <w:shd w:val="clear" w:color="auto" w:fill="FFFFFF" w:themeFill="background1"/>
          </w:tcPr>
          <w:p w:rsidR="005F5343" w:rsidRPr="005F5343" w:rsidRDefault="005F5343" w:rsidP="005F5343">
            <w:r w:rsidRPr="005F5343">
              <w:t>31/3/22</w:t>
            </w:r>
          </w:p>
        </w:tc>
        <w:tc>
          <w:tcPr>
            <w:tcW w:w="2046" w:type="dxa"/>
            <w:gridSpan w:val="2"/>
            <w:shd w:val="clear" w:color="auto" w:fill="FFFFFF" w:themeFill="background1"/>
          </w:tcPr>
          <w:p w:rsidR="005F5343" w:rsidRPr="005F5343" w:rsidRDefault="005F5343" w:rsidP="005F5343">
            <w:r w:rsidRPr="005F5343">
              <w:t>Head of Law &amp; Governance and Head of Business Improvement</w:t>
            </w:r>
          </w:p>
        </w:tc>
        <w:tc>
          <w:tcPr>
            <w:tcW w:w="4854" w:type="dxa"/>
            <w:shd w:val="clear" w:color="auto" w:fill="FFFFFF" w:themeFill="background1"/>
          </w:tcPr>
          <w:p w:rsidR="005F5343" w:rsidRPr="005F5343" w:rsidRDefault="005F5343" w:rsidP="005F5343">
            <w:r w:rsidRPr="005F5343">
              <w:t>There is a need to ensure that all new staff participate in the relevant data protection training module for their role as part of their induction programme. Envisaged that this will inform the probation period for new employees</w:t>
            </w:r>
          </w:p>
        </w:tc>
        <w:tc>
          <w:tcPr>
            <w:tcW w:w="1578" w:type="dxa"/>
            <w:shd w:val="clear" w:color="auto" w:fill="auto"/>
          </w:tcPr>
          <w:p w:rsidR="005F5343" w:rsidRPr="005F5343" w:rsidRDefault="005F5343" w:rsidP="005F5343"/>
        </w:tc>
      </w:tr>
      <w:tr w:rsidR="005F5343" w:rsidRPr="005F5343" w:rsidTr="00F9403B">
        <w:trPr>
          <w:trHeight w:val="175"/>
        </w:trPr>
        <w:tc>
          <w:tcPr>
            <w:tcW w:w="5407" w:type="dxa"/>
            <w:shd w:val="clear" w:color="auto" w:fill="D9D9D9" w:themeFill="background1" w:themeFillShade="D9"/>
          </w:tcPr>
          <w:p w:rsidR="005F5343" w:rsidRPr="005F5343" w:rsidRDefault="005F5343" w:rsidP="005F5343"/>
        </w:tc>
        <w:tc>
          <w:tcPr>
            <w:tcW w:w="1316" w:type="dxa"/>
            <w:shd w:val="clear" w:color="auto" w:fill="D9D9D9" w:themeFill="background1" w:themeFillShade="D9"/>
          </w:tcPr>
          <w:p w:rsidR="005F5343" w:rsidRPr="005F5343" w:rsidRDefault="005F5343" w:rsidP="005F5343"/>
        </w:tc>
        <w:tc>
          <w:tcPr>
            <w:tcW w:w="2046" w:type="dxa"/>
            <w:gridSpan w:val="2"/>
            <w:shd w:val="clear" w:color="auto" w:fill="D9D9D9" w:themeFill="background1" w:themeFillShade="D9"/>
          </w:tcPr>
          <w:p w:rsidR="005F5343" w:rsidRPr="005F5343" w:rsidRDefault="005F5343" w:rsidP="005F5343"/>
        </w:tc>
        <w:tc>
          <w:tcPr>
            <w:tcW w:w="4854" w:type="dxa"/>
            <w:shd w:val="clear" w:color="auto" w:fill="D9D9D9" w:themeFill="background1" w:themeFillShade="D9"/>
          </w:tcPr>
          <w:p w:rsidR="005F5343" w:rsidRPr="005F5343" w:rsidRDefault="005F5343" w:rsidP="005F5343"/>
        </w:tc>
        <w:tc>
          <w:tcPr>
            <w:tcW w:w="1578" w:type="dxa"/>
            <w:shd w:val="clear" w:color="auto" w:fill="D9D9D9" w:themeFill="background1" w:themeFillShade="D9"/>
          </w:tcPr>
          <w:p w:rsidR="005F5343" w:rsidRPr="005F5343" w:rsidRDefault="005F5343" w:rsidP="005F5343"/>
        </w:tc>
      </w:tr>
      <w:tr w:rsidR="005F5343" w:rsidRPr="005F5343" w:rsidTr="00F9403B">
        <w:trPr>
          <w:trHeight w:val="412"/>
        </w:trPr>
        <w:tc>
          <w:tcPr>
            <w:tcW w:w="5407" w:type="dxa"/>
          </w:tcPr>
          <w:p w:rsidR="005F5343" w:rsidRPr="005F5343" w:rsidRDefault="005F5343" w:rsidP="005F5343">
            <w:r w:rsidRPr="005F5343">
              <w:t>2 Practical implementation of Council’s revised retention schedule</w:t>
            </w:r>
          </w:p>
          <w:p w:rsidR="005F5343" w:rsidRPr="005F5343" w:rsidRDefault="005F5343" w:rsidP="005F5343"/>
        </w:tc>
        <w:tc>
          <w:tcPr>
            <w:tcW w:w="1316" w:type="dxa"/>
          </w:tcPr>
          <w:p w:rsidR="005F5343" w:rsidRPr="005F5343" w:rsidRDefault="005F5343" w:rsidP="005F5343">
            <w:r w:rsidRPr="005F5343">
              <w:t>31/3/22</w:t>
            </w:r>
          </w:p>
        </w:tc>
        <w:tc>
          <w:tcPr>
            <w:tcW w:w="2046" w:type="dxa"/>
            <w:gridSpan w:val="2"/>
            <w:shd w:val="clear" w:color="auto" w:fill="FFFFFF" w:themeFill="background1"/>
          </w:tcPr>
          <w:p w:rsidR="005F5343" w:rsidRPr="005F5343" w:rsidRDefault="005F5343" w:rsidP="005F5343">
            <w:r w:rsidRPr="005F5343">
              <w:t>Head of Law &amp; Governance and Head of Business Improvement</w:t>
            </w:r>
          </w:p>
        </w:tc>
        <w:tc>
          <w:tcPr>
            <w:tcW w:w="4854" w:type="dxa"/>
            <w:shd w:val="clear" w:color="auto" w:fill="FFFFFF" w:themeFill="background1"/>
          </w:tcPr>
          <w:p w:rsidR="005F5343" w:rsidRPr="005F5343" w:rsidRDefault="005F5343" w:rsidP="005F5343">
            <w:r w:rsidRPr="005F5343">
              <w:t>Each service area to be responsible for compliance with data retention rules and policies to include a reduction in the number of emails stored as unstructured data in outlook accounts.</w:t>
            </w:r>
          </w:p>
        </w:tc>
        <w:tc>
          <w:tcPr>
            <w:tcW w:w="1578" w:type="dxa"/>
            <w:shd w:val="clear" w:color="auto" w:fill="auto"/>
          </w:tcPr>
          <w:p w:rsidR="005F5343" w:rsidRPr="005F5343" w:rsidRDefault="005F5343" w:rsidP="005F5343"/>
        </w:tc>
      </w:tr>
      <w:tr w:rsidR="005F5343" w:rsidRPr="005F5343" w:rsidTr="00F9403B">
        <w:trPr>
          <w:trHeight w:val="175"/>
        </w:trPr>
        <w:tc>
          <w:tcPr>
            <w:tcW w:w="5407" w:type="dxa"/>
            <w:shd w:val="clear" w:color="auto" w:fill="D9D9D9" w:themeFill="background1" w:themeFillShade="D9"/>
          </w:tcPr>
          <w:p w:rsidR="005F5343" w:rsidRPr="005F5343" w:rsidRDefault="005F5343" w:rsidP="005F5343"/>
        </w:tc>
        <w:tc>
          <w:tcPr>
            <w:tcW w:w="1316" w:type="dxa"/>
            <w:shd w:val="clear" w:color="auto" w:fill="D9D9D9" w:themeFill="background1" w:themeFillShade="D9"/>
          </w:tcPr>
          <w:p w:rsidR="005F5343" w:rsidRPr="005F5343" w:rsidRDefault="005F5343" w:rsidP="005F5343"/>
        </w:tc>
        <w:tc>
          <w:tcPr>
            <w:tcW w:w="2046" w:type="dxa"/>
            <w:gridSpan w:val="2"/>
            <w:shd w:val="clear" w:color="auto" w:fill="D9D9D9" w:themeFill="background1" w:themeFillShade="D9"/>
          </w:tcPr>
          <w:p w:rsidR="005F5343" w:rsidRPr="005F5343" w:rsidRDefault="005F5343" w:rsidP="005F5343"/>
        </w:tc>
        <w:tc>
          <w:tcPr>
            <w:tcW w:w="4854" w:type="dxa"/>
            <w:shd w:val="clear" w:color="auto" w:fill="D9D9D9" w:themeFill="background1" w:themeFillShade="D9"/>
          </w:tcPr>
          <w:p w:rsidR="005F5343" w:rsidRPr="005F5343" w:rsidRDefault="005F5343" w:rsidP="005F5343"/>
        </w:tc>
        <w:tc>
          <w:tcPr>
            <w:tcW w:w="1578" w:type="dxa"/>
            <w:shd w:val="clear" w:color="auto" w:fill="D9D9D9" w:themeFill="background1" w:themeFillShade="D9"/>
          </w:tcPr>
          <w:p w:rsidR="005F5343" w:rsidRPr="005F5343" w:rsidRDefault="005F5343" w:rsidP="005F5343"/>
        </w:tc>
      </w:tr>
      <w:tr w:rsidR="005F5343" w:rsidRPr="005F5343" w:rsidTr="00F9403B">
        <w:trPr>
          <w:trHeight w:val="412"/>
        </w:trPr>
        <w:tc>
          <w:tcPr>
            <w:tcW w:w="5407" w:type="dxa"/>
          </w:tcPr>
          <w:p w:rsidR="005F5343" w:rsidRPr="005F5343" w:rsidRDefault="005F5343" w:rsidP="005F5343">
            <w:r w:rsidRPr="005F5343">
              <w:t>3 Review of data protection practices with organisation</w:t>
            </w:r>
          </w:p>
        </w:tc>
        <w:tc>
          <w:tcPr>
            <w:tcW w:w="1316" w:type="dxa"/>
          </w:tcPr>
          <w:p w:rsidR="005F5343" w:rsidRPr="005F5343" w:rsidRDefault="005F5343" w:rsidP="005F5343">
            <w:r w:rsidRPr="005F5343">
              <w:t>31/3/22</w:t>
            </w:r>
          </w:p>
        </w:tc>
        <w:tc>
          <w:tcPr>
            <w:tcW w:w="2046" w:type="dxa"/>
            <w:gridSpan w:val="2"/>
            <w:shd w:val="clear" w:color="auto" w:fill="FFFFFF" w:themeFill="background1"/>
          </w:tcPr>
          <w:p w:rsidR="005F5343" w:rsidRPr="005F5343" w:rsidRDefault="005F5343" w:rsidP="005F5343">
            <w:r w:rsidRPr="005F5343">
              <w:t>Head of Law &amp; Governance</w:t>
            </w:r>
          </w:p>
        </w:tc>
        <w:tc>
          <w:tcPr>
            <w:tcW w:w="4854" w:type="dxa"/>
            <w:shd w:val="clear" w:color="auto" w:fill="FFFFFF" w:themeFill="background1"/>
          </w:tcPr>
          <w:p w:rsidR="005F5343" w:rsidRPr="005F5343" w:rsidRDefault="005F5343" w:rsidP="005F5343">
            <w:r w:rsidRPr="005F5343">
              <w:t>Project to consider the work undertaken by the Council in relation to its data protection practices. This will be in line with the Information Commissioner’s accountability tracker on compliance with the data protection principles in the UK GDPR Article 5.</w:t>
            </w:r>
          </w:p>
        </w:tc>
        <w:tc>
          <w:tcPr>
            <w:tcW w:w="1578" w:type="dxa"/>
            <w:shd w:val="clear" w:color="auto" w:fill="auto"/>
          </w:tcPr>
          <w:p w:rsidR="005F5343" w:rsidRPr="005F5343" w:rsidRDefault="005F5343" w:rsidP="005F5343"/>
        </w:tc>
      </w:tr>
      <w:tr w:rsidR="005F5343" w:rsidRPr="005F5343" w:rsidTr="00F9403B">
        <w:trPr>
          <w:trHeight w:val="175"/>
        </w:trPr>
        <w:tc>
          <w:tcPr>
            <w:tcW w:w="5407" w:type="dxa"/>
            <w:shd w:val="clear" w:color="auto" w:fill="D9D9D9" w:themeFill="background1" w:themeFillShade="D9"/>
          </w:tcPr>
          <w:p w:rsidR="005F5343" w:rsidRPr="005F5343" w:rsidRDefault="005F5343" w:rsidP="005F5343"/>
        </w:tc>
        <w:tc>
          <w:tcPr>
            <w:tcW w:w="1316" w:type="dxa"/>
            <w:shd w:val="clear" w:color="auto" w:fill="D9D9D9" w:themeFill="background1" w:themeFillShade="D9"/>
          </w:tcPr>
          <w:p w:rsidR="005F5343" w:rsidRPr="005F5343" w:rsidRDefault="005F5343" w:rsidP="005F5343"/>
        </w:tc>
        <w:tc>
          <w:tcPr>
            <w:tcW w:w="2046" w:type="dxa"/>
            <w:gridSpan w:val="2"/>
            <w:shd w:val="clear" w:color="auto" w:fill="D9D9D9" w:themeFill="background1" w:themeFillShade="D9"/>
          </w:tcPr>
          <w:p w:rsidR="005F5343" w:rsidRPr="005F5343" w:rsidRDefault="005F5343" w:rsidP="005F5343"/>
        </w:tc>
        <w:tc>
          <w:tcPr>
            <w:tcW w:w="4854" w:type="dxa"/>
            <w:shd w:val="clear" w:color="auto" w:fill="D9D9D9" w:themeFill="background1" w:themeFillShade="D9"/>
          </w:tcPr>
          <w:p w:rsidR="005F5343" w:rsidRPr="005F5343" w:rsidRDefault="005F5343" w:rsidP="005F5343"/>
        </w:tc>
        <w:tc>
          <w:tcPr>
            <w:tcW w:w="1578" w:type="dxa"/>
            <w:shd w:val="clear" w:color="auto" w:fill="D9D9D9" w:themeFill="background1" w:themeFillShade="D9"/>
          </w:tcPr>
          <w:p w:rsidR="005F5343" w:rsidRPr="005F5343" w:rsidRDefault="005F5343" w:rsidP="005F5343"/>
        </w:tc>
      </w:tr>
      <w:tr w:rsidR="005F5343" w:rsidRPr="005F5343" w:rsidTr="00F9403B">
        <w:trPr>
          <w:trHeight w:val="412"/>
        </w:trPr>
        <w:tc>
          <w:tcPr>
            <w:tcW w:w="5407" w:type="dxa"/>
          </w:tcPr>
          <w:p w:rsidR="005F5343" w:rsidRPr="005F5343" w:rsidRDefault="005F5343" w:rsidP="005F5343">
            <w:r w:rsidRPr="005F5343">
              <w:lastRenderedPageBreak/>
              <w:t>4 Review handling of freedom of information requests</w:t>
            </w:r>
          </w:p>
        </w:tc>
        <w:tc>
          <w:tcPr>
            <w:tcW w:w="1316" w:type="dxa"/>
          </w:tcPr>
          <w:p w:rsidR="005F5343" w:rsidRPr="005F5343" w:rsidRDefault="005F5343" w:rsidP="005F5343">
            <w:r w:rsidRPr="005F5343">
              <w:t>31/3/22</w:t>
            </w:r>
          </w:p>
        </w:tc>
        <w:tc>
          <w:tcPr>
            <w:tcW w:w="2046" w:type="dxa"/>
            <w:gridSpan w:val="2"/>
            <w:shd w:val="clear" w:color="auto" w:fill="FFFFFF" w:themeFill="background1"/>
          </w:tcPr>
          <w:p w:rsidR="005F5343" w:rsidRPr="005F5343" w:rsidRDefault="005F5343" w:rsidP="005F5343">
            <w:r w:rsidRPr="005F5343">
              <w:t>Head of Law &amp; Governance</w:t>
            </w:r>
          </w:p>
        </w:tc>
        <w:tc>
          <w:tcPr>
            <w:tcW w:w="4854" w:type="dxa"/>
            <w:shd w:val="clear" w:color="auto" w:fill="FFFFFF" w:themeFill="background1"/>
          </w:tcPr>
          <w:p w:rsidR="005F5343" w:rsidRPr="005F5343" w:rsidRDefault="005F5343" w:rsidP="005F5343">
            <w:r w:rsidRPr="005F5343">
              <w:t>Review to improve efficiency and effectiveness in the handling of FOI requests particularly in dealing with information held by the council’s companies</w:t>
            </w:r>
          </w:p>
        </w:tc>
        <w:tc>
          <w:tcPr>
            <w:tcW w:w="1578" w:type="dxa"/>
            <w:shd w:val="clear" w:color="auto" w:fill="auto"/>
          </w:tcPr>
          <w:p w:rsidR="005F5343" w:rsidRPr="005F5343" w:rsidRDefault="005F5343" w:rsidP="005F5343"/>
        </w:tc>
      </w:tr>
    </w:tbl>
    <w:p w:rsidR="005F5343" w:rsidRPr="005F5343" w:rsidRDefault="005F5343" w:rsidP="005F5343">
      <w:pPr>
        <w:rPr>
          <w:b/>
          <w:u w:val="single"/>
        </w:rPr>
      </w:pPr>
    </w:p>
    <w:p w:rsidR="00653A7B" w:rsidRDefault="005F5343">
      <w:bookmarkStart w:id="0" w:name="_GoBack"/>
      <w:bookmarkEnd w:id="0"/>
    </w:p>
    <w:sectPr w:rsidR="00653A7B" w:rsidSect="005F534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43"/>
    <w:rsid w:val="005F5343"/>
    <w:rsid w:val="00BC2E10"/>
    <w:rsid w:val="00BD1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E6EBA-3126-41A4-B0ED-3A64AA0F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34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5343"/>
    <w:rPr>
      <w:rFonts w:ascii="Times New Roman" w:hAnsi="Times New Roman"/>
    </w:rPr>
  </w:style>
  <w:style w:type="table" w:styleId="TableGrid">
    <w:name w:val="Table Grid"/>
    <w:basedOn w:val="TableNormal"/>
    <w:uiPriority w:val="59"/>
    <w:rsid w:val="005F534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Emma</dc:creator>
  <cp:keywords/>
  <dc:description/>
  <cp:lastModifiedBy>GRIFFITHS Emma</cp:lastModifiedBy>
  <cp:revision>1</cp:revision>
  <dcterms:created xsi:type="dcterms:W3CDTF">2021-09-21T10:05:00Z</dcterms:created>
  <dcterms:modified xsi:type="dcterms:W3CDTF">2021-09-21T10:07:00Z</dcterms:modified>
</cp:coreProperties>
</file>